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附件1</w:t>
      </w:r>
    </w:p>
    <w:p>
      <w:pPr>
        <w:spacing w:line="600" w:lineRule="exact"/>
        <w:jc w:val="both"/>
        <w:rPr>
          <w:rFonts w:hint="eastAsia" w:ascii="方正小标宋_GBK" w:hAnsi="方正小标宋_GBK" w:eastAsia="方正小标宋_GBK" w:cs="方正小标宋_GBK"/>
          <w:bCs/>
          <w:color w:val="auto"/>
          <w:sz w:val="44"/>
        </w:rPr>
      </w:pPr>
    </w:p>
    <w:p>
      <w:pPr>
        <w:spacing w:line="600" w:lineRule="exact"/>
        <w:jc w:val="center"/>
        <w:rPr>
          <w:rFonts w:hint="eastAsia" w:ascii="方正小标宋_GBK" w:hAnsi="方正小标宋_GBK" w:eastAsia="方正小标宋_GBK" w:cs="方正小标宋_GBK"/>
          <w:bCs/>
          <w:color w:val="auto"/>
          <w:sz w:val="44"/>
        </w:rPr>
      </w:pPr>
      <w:r>
        <w:rPr>
          <w:rFonts w:hint="eastAsia" w:ascii="方正小标宋_GBK" w:hAnsi="方正小标宋_GBK" w:eastAsia="方正小标宋_GBK" w:cs="方正小标宋_GBK"/>
          <w:bCs/>
          <w:color w:val="auto"/>
          <w:sz w:val="44"/>
        </w:rPr>
        <w:t>深圳市哲学社会科学优秀成果</w:t>
      </w:r>
    </w:p>
    <w:p>
      <w:pPr>
        <w:spacing w:line="600" w:lineRule="exact"/>
        <w:jc w:val="center"/>
        <w:rPr>
          <w:rFonts w:hint="eastAsia" w:ascii="方正小标宋_GBK" w:hAnsi="方正小标宋_GBK" w:eastAsia="方正小标宋_GBK" w:cs="方正小标宋_GBK"/>
          <w:bCs/>
          <w:color w:val="auto"/>
          <w:sz w:val="44"/>
        </w:rPr>
      </w:pPr>
      <w:r>
        <w:rPr>
          <w:rFonts w:hint="eastAsia" w:ascii="方正小标宋_GBK" w:hAnsi="方正小标宋_GBK" w:eastAsia="方正小标宋_GBK" w:cs="方正小标宋_GBK"/>
          <w:bCs/>
          <w:color w:val="auto"/>
          <w:sz w:val="44"/>
        </w:rPr>
        <w:t>评选奖励办法</w:t>
      </w:r>
    </w:p>
    <w:p>
      <w:pPr>
        <w:spacing w:line="360" w:lineRule="auto"/>
        <w:jc w:val="center"/>
        <w:rPr>
          <w:rFonts w:hint="eastAsia" w:ascii="黑体" w:eastAsia="黑体"/>
          <w:color w:val="auto"/>
          <w:sz w:val="32"/>
        </w:rPr>
      </w:pPr>
    </w:p>
    <w:p>
      <w:pPr>
        <w:spacing w:line="360" w:lineRule="auto"/>
        <w:jc w:val="center"/>
        <w:rPr>
          <w:rFonts w:hint="eastAsia" w:ascii="黑体" w:eastAsia="黑体"/>
          <w:color w:val="auto"/>
          <w:sz w:val="32"/>
        </w:rPr>
      </w:pPr>
      <w:r>
        <w:rPr>
          <w:rFonts w:hint="eastAsia" w:ascii="黑体" w:eastAsia="黑体"/>
          <w:color w:val="auto"/>
          <w:sz w:val="32"/>
        </w:rPr>
        <w:t>第一章　总　则</w:t>
      </w:r>
    </w:p>
    <w:p>
      <w:pPr>
        <w:widowControl/>
        <w:spacing w:line="360" w:lineRule="auto"/>
        <w:ind w:firstLine="755" w:firstLineChars="235"/>
        <w:jc w:val="left"/>
        <w:outlineLvl w:val="0"/>
        <w:rPr>
          <w:rFonts w:hint="eastAsia" w:ascii="仿宋_GB2312" w:hAnsi="宋体" w:eastAsia="仿宋_GB2312" w:cs="宋体"/>
          <w:color w:val="auto"/>
          <w:sz w:val="32"/>
        </w:rPr>
      </w:pPr>
      <w:r>
        <w:rPr>
          <w:rFonts w:hint="eastAsia" w:ascii="仿宋_GB2312" w:hAnsi="宋体" w:eastAsia="仿宋_GB2312" w:cs="宋体"/>
          <w:b/>
          <w:bCs/>
          <w:color w:val="auto"/>
          <w:sz w:val="32"/>
        </w:rPr>
        <w:t>第一条</w:t>
      </w:r>
      <w:r>
        <w:rPr>
          <w:rFonts w:hint="eastAsia" w:ascii="仿宋_GB2312" w:hAnsi="宋体" w:eastAsia="仿宋_GB2312" w:cs="宋体"/>
          <w:color w:val="auto"/>
          <w:sz w:val="32"/>
        </w:rPr>
        <w:t>　为鼓励全市哲学社会科学工作者积极探索、勇于创新，以优秀的研究成果促进哲学社会科学学科建设、理论发展、人才培养，推动深圳哲学社会科学事业高质量发展，特制定本办法。</w:t>
      </w:r>
    </w:p>
    <w:p>
      <w:pPr>
        <w:widowControl/>
        <w:spacing w:line="360" w:lineRule="auto"/>
        <w:ind w:firstLine="755" w:firstLineChars="235"/>
        <w:jc w:val="left"/>
        <w:outlineLvl w:val="0"/>
        <w:rPr>
          <w:rFonts w:hint="eastAsia" w:ascii="仿宋_GB2312" w:hAnsi="宋体" w:eastAsia="仿宋_GB2312" w:cs="宋体"/>
          <w:color w:val="auto"/>
          <w:sz w:val="32"/>
        </w:rPr>
      </w:pPr>
      <w:r>
        <w:rPr>
          <w:rFonts w:hint="eastAsia" w:ascii="仿宋_GB2312" w:hAnsi="宋体" w:eastAsia="仿宋_GB2312" w:cs="宋体"/>
          <w:b/>
          <w:bCs/>
          <w:color w:val="auto"/>
          <w:sz w:val="32"/>
        </w:rPr>
        <w:t>第二条</w:t>
      </w:r>
      <w:r>
        <w:rPr>
          <w:rFonts w:hint="eastAsia" w:ascii="仿宋_GB2312" w:hAnsi="宋体" w:eastAsia="仿宋_GB2312" w:cs="宋体"/>
          <w:color w:val="auto"/>
          <w:sz w:val="32"/>
        </w:rPr>
        <w:t>　深圳市哲学社会科学优秀成果评奖工作，要</w:t>
      </w:r>
      <w:r>
        <w:rPr>
          <w:rFonts w:hint="eastAsia" w:ascii="仿宋_GB2312" w:hAnsi="仿宋_GB2312" w:eastAsia="仿宋_GB2312" w:cs="仿宋_GB2312"/>
          <w:color w:val="auto"/>
          <w:sz w:val="32"/>
          <w:szCs w:val="32"/>
        </w:rPr>
        <w:t>高举中国特色社会主义伟大旗帜，</w:t>
      </w:r>
      <w:r>
        <w:rPr>
          <w:rFonts w:hint="eastAsia" w:ascii="仿宋_GB2312" w:hAnsi="宋体" w:eastAsia="仿宋_GB2312" w:cs="宋体"/>
          <w:color w:val="auto"/>
          <w:sz w:val="32"/>
        </w:rPr>
        <w:t>坚持以习近平新时代中国特色社会主义思想为指导，坚持为人民服务、为社会主义服务的方向和百花齐放、百家争鸣的方针，坚持解放思想、实事求是、与时俱进。</w:t>
      </w:r>
    </w:p>
    <w:p>
      <w:pPr>
        <w:widowControl/>
        <w:spacing w:line="360" w:lineRule="auto"/>
        <w:ind w:firstLine="755" w:firstLineChars="235"/>
        <w:jc w:val="left"/>
        <w:outlineLvl w:val="0"/>
        <w:rPr>
          <w:rFonts w:hint="eastAsia" w:ascii="仿宋_GB2312" w:hAnsi="Times New Roman" w:eastAsia="仿宋_GB2312"/>
          <w:color w:val="auto"/>
          <w:sz w:val="32"/>
        </w:rPr>
      </w:pPr>
      <w:r>
        <w:rPr>
          <w:rFonts w:hint="eastAsia" w:ascii="仿宋_GB2312" w:hAnsi="宋体" w:eastAsia="仿宋_GB2312" w:cs="宋体"/>
          <w:b/>
          <w:bCs/>
          <w:color w:val="auto"/>
          <w:sz w:val="32"/>
        </w:rPr>
        <w:t>第三条</w:t>
      </w:r>
      <w:r>
        <w:rPr>
          <w:rFonts w:hint="eastAsia" w:ascii="仿宋_GB2312" w:hAnsi="宋体" w:eastAsia="仿宋_GB2312" w:cs="宋体"/>
          <w:color w:val="auto"/>
          <w:sz w:val="32"/>
        </w:rPr>
        <w:t>　深圳市哲学社会科学优秀成果奖评选工作由中共深圳市委宣传部、深圳市</w:t>
      </w:r>
      <w:r>
        <w:rPr>
          <w:rFonts w:hint="eastAsia" w:ascii="仿宋_GB2312" w:hAnsi="Times New Roman" w:eastAsia="仿宋_GB2312"/>
          <w:color w:val="auto"/>
          <w:sz w:val="32"/>
        </w:rPr>
        <w:t>社会科学联合会共同承办。</w:t>
      </w:r>
    </w:p>
    <w:p>
      <w:pPr>
        <w:spacing w:line="360" w:lineRule="auto"/>
        <w:ind w:firstLine="752" w:firstLineChars="235"/>
        <w:jc w:val="center"/>
        <w:outlineLvl w:val="0"/>
        <w:rPr>
          <w:rFonts w:hint="eastAsia" w:ascii="黑体" w:eastAsia="黑体"/>
          <w:color w:val="auto"/>
          <w:sz w:val="32"/>
        </w:rPr>
      </w:pPr>
    </w:p>
    <w:p>
      <w:pPr>
        <w:spacing w:line="360" w:lineRule="auto"/>
        <w:ind w:firstLine="640" w:firstLineChars="200"/>
        <w:jc w:val="center"/>
        <w:rPr>
          <w:rFonts w:ascii="黑体" w:eastAsia="黑体"/>
          <w:color w:val="auto"/>
          <w:sz w:val="32"/>
        </w:rPr>
      </w:pPr>
      <w:r>
        <w:rPr>
          <w:rFonts w:hint="eastAsia" w:ascii="黑体" w:eastAsia="黑体"/>
          <w:color w:val="auto"/>
          <w:sz w:val="32"/>
        </w:rPr>
        <w:t>第二章　评选原则及标准</w:t>
      </w:r>
    </w:p>
    <w:p>
      <w:pPr>
        <w:widowControl/>
        <w:spacing w:line="360" w:lineRule="auto"/>
        <w:ind w:firstLine="755" w:firstLineChars="235"/>
        <w:jc w:val="left"/>
        <w:outlineLvl w:val="0"/>
        <w:rPr>
          <w:rFonts w:hint="eastAsia" w:ascii="仿宋_GB2312" w:hAnsi="宋体" w:eastAsia="仿宋_GB2312" w:cs="宋体"/>
          <w:color w:val="auto"/>
          <w:sz w:val="32"/>
        </w:rPr>
      </w:pPr>
      <w:r>
        <w:rPr>
          <w:rFonts w:ascii="仿宋_GB2312" w:eastAsia="仿宋_GB2312"/>
          <w:b/>
          <w:bCs/>
          <w:color w:val="auto"/>
          <w:sz w:val="32"/>
          <w:szCs w:val="28"/>
        </w:rPr>
        <w:t>第</w:t>
      </w:r>
      <w:r>
        <w:rPr>
          <w:rFonts w:hint="eastAsia" w:ascii="仿宋_GB2312" w:eastAsia="仿宋_GB2312"/>
          <w:b/>
          <w:bCs/>
          <w:color w:val="auto"/>
          <w:sz w:val="32"/>
          <w:szCs w:val="28"/>
        </w:rPr>
        <w:t>四</w:t>
      </w:r>
      <w:r>
        <w:rPr>
          <w:rFonts w:ascii="仿宋_GB2312" w:eastAsia="仿宋_GB2312"/>
          <w:b/>
          <w:bCs/>
          <w:color w:val="auto"/>
          <w:sz w:val="32"/>
          <w:szCs w:val="28"/>
        </w:rPr>
        <w:t>条</w:t>
      </w:r>
      <w:r>
        <w:rPr>
          <w:rFonts w:hint="eastAsia" w:ascii="仿宋_GB2312" w:hAnsi="宋体" w:eastAsia="仿宋_GB2312" w:cs="宋体"/>
          <w:color w:val="auto"/>
          <w:sz w:val="32"/>
        </w:rPr>
        <w:t>　</w:t>
      </w:r>
      <w:r>
        <w:rPr>
          <w:rFonts w:ascii="仿宋_GB2312" w:eastAsia="仿宋_GB2312"/>
          <w:color w:val="auto"/>
          <w:sz w:val="32"/>
          <w:szCs w:val="28"/>
        </w:rPr>
        <w:t>评</w:t>
      </w:r>
      <w:r>
        <w:rPr>
          <w:rFonts w:hint="eastAsia" w:ascii="仿宋_GB2312" w:hAnsi="宋体" w:eastAsia="仿宋_GB2312" w:cs="宋体"/>
          <w:color w:val="auto"/>
          <w:sz w:val="32"/>
        </w:rPr>
        <w:t>选原则</w:t>
      </w:r>
    </w:p>
    <w:p>
      <w:pPr>
        <w:widowControl/>
        <w:spacing w:line="360" w:lineRule="auto"/>
        <w:ind w:firstLine="752" w:firstLineChars="235"/>
        <w:jc w:val="left"/>
        <w:outlineLvl w:val="0"/>
        <w:rPr>
          <w:rFonts w:hint="eastAsia" w:ascii="仿宋_GB2312" w:hAnsi="宋体" w:eastAsia="仿宋_GB2312" w:cs="宋体"/>
          <w:color w:val="auto"/>
          <w:sz w:val="32"/>
        </w:rPr>
      </w:pPr>
      <w:r>
        <w:rPr>
          <w:rFonts w:hint="eastAsia" w:ascii="仿宋_GB2312" w:hAnsi="宋体" w:eastAsia="仿宋_GB2312" w:cs="宋体"/>
          <w:color w:val="auto"/>
          <w:sz w:val="32"/>
        </w:rPr>
        <w:t>（一）坚持正确政治方向的原则。</w:t>
      </w:r>
    </w:p>
    <w:p>
      <w:pPr>
        <w:widowControl/>
        <w:spacing w:line="360" w:lineRule="auto"/>
        <w:ind w:firstLine="752" w:firstLineChars="235"/>
        <w:jc w:val="left"/>
        <w:outlineLvl w:val="0"/>
        <w:rPr>
          <w:rFonts w:hint="eastAsia" w:ascii="仿宋_GB2312" w:hAnsi="宋体" w:eastAsia="仿宋_GB2312" w:cs="宋体"/>
          <w:color w:val="auto"/>
          <w:sz w:val="32"/>
        </w:rPr>
      </w:pPr>
      <w:r>
        <w:rPr>
          <w:rFonts w:hint="eastAsia" w:ascii="仿宋_GB2312" w:hAnsi="宋体" w:eastAsia="仿宋_GB2312" w:cs="宋体"/>
          <w:color w:val="auto"/>
          <w:sz w:val="32"/>
        </w:rPr>
        <w:t>（二）公开、公平、公正的原则。</w:t>
      </w:r>
    </w:p>
    <w:p>
      <w:pPr>
        <w:widowControl/>
        <w:spacing w:line="360" w:lineRule="auto"/>
        <w:ind w:firstLine="752" w:firstLineChars="235"/>
        <w:jc w:val="left"/>
        <w:outlineLvl w:val="0"/>
        <w:rPr>
          <w:rFonts w:hint="eastAsia" w:ascii="仿宋_GB2312" w:hAnsi="宋体" w:eastAsia="仿宋_GB2312" w:cs="宋体"/>
          <w:color w:val="auto"/>
          <w:sz w:val="32"/>
        </w:rPr>
      </w:pPr>
      <w:r>
        <w:rPr>
          <w:rFonts w:hint="eastAsia" w:ascii="仿宋_GB2312" w:hAnsi="宋体" w:eastAsia="仿宋_GB2312" w:cs="宋体"/>
          <w:color w:val="auto"/>
          <w:sz w:val="32"/>
        </w:rPr>
        <w:t>（三）高标准、宁缺勿滥的原则。</w:t>
      </w:r>
    </w:p>
    <w:p>
      <w:pPr>
        <w:widowControl/>
        <w:spacing w:line="360" w:lineRule="auto"/>
        <w:ind w:firstLine="755" w:firstLineChars="235"/>
        <w:jc w:val="left"/>
        <w:outlineLvl w:val="0"/>
        <w:rPr>
          <w:rFonts w:hint="eastAsia" w:ascii="仿宋_GB2312" w:hAnsi="宋体" w:eastAsia="仿宋_GB2312" w:cs="宋体"/>
          <w:color w:val="auto"/>
          <w:sz w:val="32"/>
        </w:rPr>
      </w:pPr>
      <w:r>
        <w:rPr>
          <w:rFonts w:hint="eastAsia" w:ascii="仿宋_GB2312" w:hAnsi="宋体" w:eastAsia="仿宋_GB2312" w:cs="宋体"/>
          <w:b/>
          <w:bCs/>
          <w:color w:val="auto"/>
          <w:sz w:val="32"/>
        </w:rPr>
        <w:t>第五条</w:t>
      </w:r>
      <w:r>
        <w:rPr>
          <w:rFonts w:hint="eastAsia" w:ascii="仿宋_GB2312" w:hAnsi="宋体" w:eastAsia="仿宋_GB2312" w:cs="宋体"/>
          <w:color w:val="auto"/>
          <w:sz w:val="32"/>
        </w:rPr>
        <w:t>　评选标准</w:t>
      </w:r>
    </w:p>
    <w:p>
      <w:pPr>
        <w:spacing w:line="360" w:lineRule="auto"/>
        <w:ind w:firstLine="640" w:firstLineChars="200"/>
        <w:rPr>
          <w:rFonts w:ascii="仿宋_GB2312" w:hAnsi="Times New Roman" w:eastAsia="仿宋_GB2312"/>
          <w:color w:val="auto"/>
          <w:sz w:val="32"/>
          <w:szCs w:val="28"/>
        </w:rPr>
      </w:pPr>
      <w:r>
        <w:rPr>
          <w:rFonts w:hint="eastAsia" w:ascii="仿宋_GB2312" w:eastAsia="仿宋_GB2312"/>
          <w:color w:val="auto"/>
          <w:sz w:val="32"/>
          <w:szCs w:val="28"/>
        </w:rPr>
        <w:t>（一）坚持以马克思列宁主义、毛泽东思想、邓小平理论、“三个代表”重要思想、科学发</w:t>
      </w:r>
      <w:r>
        <w:rPr>
          <w:rFonts w:hint="eastAsia" w:ascii="仿宋_GB2312" w:hAnsi="Times New Roman" w:eastAsia="仿宋_GB2312"/>
          <w:color w:val="auto"/>
          <w:sz w:val="32"/>
          <w:szCs w:val="28"/>
        </w:rPr>
        <w:t>展观、习近平新时代中国特色社会主义思想为指导。</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（二）</w:t>
      </w:r>
      <w:r>
        <w:rPr>
          <w:rFonts w:hint="eastAsia" w:ascii="仿宋_GB2312" w:eastAsia="仿宋_GB2312"/>
          <w:color w:val="auto"/>
          <w:sz w:val="32"/>
          <w:szCs w:val="32"/>
        </w:rPr>
        <w:t>研究成果应侧重要求对本学科在理论上有所发现，有所创新，提出了有创见性的新观点、新结论；或对原有的结论做出了新的补充和进一步完善；或在研究方法上有新的突破；或提出了有研究价值的新问题，开拓了新的领域，对创立或建立新的学科做出了贡献；或收集和运用了新的资料。</w:t>
      </w:r>
    </w:p>
    <w:p>
      <w:pPr>
        <w:spacing w:line="360" w:lineRule="auto"/>
        <w:ind w:firstLine="640" w:firstLineChars="200"/>
        <w:jc w:val="center"/>
        <w:rPr>
          <w:rFonts w:ascii="黑体" w:eastAsia="黑体"/>
          <w:color w:val="auto"/>
          <w:sz w:val="32"/>
        </w:rPr>
      </w:pPr>
      <w:r>
        <w:rPr>
          <w:rFonts w:hint="eastAsia" w:ascii="黑体" w:eastAsia="黑体"/>
          <w:color w:val="auto"/>
          <w:sz w:val="32"/>
        </w:rPr>
        <w:t>第三章　奖项设置及评选标准</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第六条</w:t>
      </w:r>
      <w:r>
        <w:rPr>
          <w:rFonts w:hint="eastAsia" w:ascii="仿宋_GB2312" w:hAnsi="宋体" w:eastAsia="仿宋_GB2312" w:cs="宋体"/>
          <w:color w:val="auto"/>
          <w:sz w:val="32"/>
        </w:rPr>
        <w:t>　</w:t>
      </w:r>
      <w:r>
        <w:rPr>
          <w:rFonts w:hint="eastAsia" w:ascii="仿宋_GB2312" w:eastAsia="仿宋_GB2312"/>
          <w:color w:val="auto"/>
          <w:sz w:val="32"/>
          <w:szCs w:val="28"/>
        </w:rPr>
        <w:t>对获奖成果颁发获奖证书和奖金。</w:t>
      </w:r>
      <w:r>
        <w:rPr>
          <w:rFonts w:hint="eastAsia" w:ascii="仿宋_GB2312" w:eastAsia="仿宋_GB2312"/>
          <w:color w:val="auto"/>
          <w:sz w:val="32"/>
          <w:szCs w:val="32"/>
        </w:rPr>
        <w:t>有关单位应将获奖者的获奖业绩记入本人的人事档案和学术（业务）档案，作为对其考核、晋级、任用、评定专业技术职务的重要依据。</w:t>
      </w:r>
    </w:p>
    <w:p>
      <w:pPr>
        <w:spacing w:line="360" w:lineRule="auto"/>
        <w:ind w:firstLine="643" w:firstLineChars="200"/>
        <w:rPr>
          <w:rFonts w:hint="eastAsia" w:ascii="仿宋_GB2312" w:eastAsia="仿宋_GB2312"/>
          <w:b/>
          <w:bCs/>
          <w:color w:val="auto"/>
          <w:sz w:val="32"/>
          <w:szCs w:val="28"/>
        </w:rPr>
      </w:pPr>
      <w:r>
        <w:rPr>
          <w:rFonts w:hint="eastAsia" w:ascii="仿宋_GB2312" w:eastAsia="仿宋_GB2312"/>
          <w:b/>
          <w:bCs/>
          <w:color w:val="auto"/>
          <w:sz w:val="32"/>
          <w:szCs w:val="28"/>
        </w:rPr>
        <w:t xml:space="preserve">第七条  </w:t>
      </w:r>
      <w:r>
        <w:rPr>
          <w:rFonts w:hint="eastAsia" w:ascii="仿宋_GB2312" w:eastAsia="仿宋_GB2312"/>
          <w:color w:val="auto"/>
          <w:sz w:val="32"/>
          <w:szCs w:val="28"/>
        </w:rPr>
        <w:t>奖项分类</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学术著作；学术论文；调研报告；科普著作；工具书、</w:t>
      </w:r>
      <w:r>
        <w:rPr>
          <w:rFonts w:hint="eastAsia" w:ascii="仿宋_GB2312" w:eastAsia="仿宋_GB2312"/>
          <w:color w:val="auto"/>
          <w:sz w:val="32"/>
        </w:rPr>
        <w:t>志书、教科书、</w:t>
      </w:r>
      <w:r>
        <w:rPr>
          <w:rFonts w:hint="eastAsia" w:ascii="仿宋_GB2312" w:eastAsia="仿宋_GB2312"/>
          <w:color w:val="auto"/>
          <w:sz w:val="32"/>
          <w:szCs w:val="28"/>
        </w:rPr>
        <w:t>译著、古籍整理；优秀成果新人奖。</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第八条</w:t>
      </w:r>
      <w:r>
        <w:rPr>
          <w:rFonts w:hint="eastAsia" w:ascii="仿宋_GB2312" w:eastAsia="仿宋_GB2312"/>
          <w:color w:val="auto"/>
          <w:sz w:val="32"/>
          <w:szCs w:val="28"/>
        </w:rPr>
        <w:t xml:space="preserve">  奖项设置</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学术著作类、学术论文类和调研报告类分别设一、二、三等奖，其他类别只设优秀成果奖。</w:t>
      </w:r>
    </w:p>
    <w:p>
      <w:pPr>
        <w:spacing w:line="360" w:lineRule="auto"/>
        <w:ind w:firstLine="643" w:firstLineChars="200"/>
        <w:rPr>
          <w:rFonts w:ascii="仿宋_GB2312" w:eastAsia="仿宋_GB2312"/>
          <w:color w:val="auto"/>
          <w:sz w:val="32"/>
          <w:szCs w:val="28"/>
        </w:rPr>
      </w:pPr>
      <w:r>
        <w:rPr>
          <w:rFonts w:hint="eastAsia" w:ascii="仿宋_GB2312" w:eastAsia="仿宋_GB2312"/>
          <w:b/>
          <w:bCs/>
          <w:color w:val="auto"/>
          <w:sz w:val="32"/>
          <w:szCs w:val="28"/>
        </w:rPr>
        <w:t>第九条</w:t>
      </w:r>
      <w:r>
        <w:rPr>
          <w:rFonts w:hint="eastAsia" w:ascii="仿宋_GB2312" w:eastAsia="仿宋_GB2312"/>
          <w:color w:val="auto"/>
          <w:sz w:val="32"/>
          <w:szCs w:val="28"/>
        </w:rPr>
        <w:t xml:space="preserve">  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（一）学术著作类评选标准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1.一等奖评选标准</w:t>
      </w:r>
    </w:p>
    <w:p>
      <w:pPr>
        <w:spacing w:line="360" w:lineRule="auto"/>
        <w:ind w:firstLine="570"/>
        <w:rPr>
          <w:rFonts w:hint="eastAsia" w:ascii="仿宋_GB2312" w:eastAsia="仿宋_GB2312"/>
          <w:color w:val="auto"/>
          <w:sz w:val="32"/>
          <w:szCs w:val="28"/>
        </w:rPr>
      </w:pPr>
      <w:r>
        <w:rPr>
          <w:rFonts w:hint="eastAsia" w:ascii="仿宋_GB2312" w:eastAsia="仿宋_GB2312"/>
          <w:color w:val="auto"/>
          <w:sz w:val="32"/>
          <w:szCs w:val="28"/>
        </w:rPr>
        <w:t>（1）</w:t>
      </w:r>
      <w:r>
        <w:rPr>
          <w:rFonts w:hint="eastAsia" w:ascii="仿宋_GB2312" w:eastAsia="仿宋_GB2312"/>
          <w:color w:val="auto"/>
          <w:sz w:val="32"/>
          <w:szCs w:val="32"/>
        </w:rPr>
        <w:t>标有国内统一书号ISBN</w:t>
      </w:r>
      <w:r>
        <w:rPr>
          <w:rFonts w:hint="eastAsia" w:ascii="仿宋_GB2312" w:eastAsia="仿宋_GB2312"/>
          <w:color w:val="auto"/>
          <w:sz w:val="32"/>
          <w:szCs w:val="32"/>
          <w:lang w:eastAsia="zh-CN"/>
        </w:rPr>
        <w:t>，</w:t>
      </w:r>
      <w:r>
        <w:rPr>
          <w:rFonts w:hint="eastAsia" w:ascii="仿宋_GB2312" w:eastAsia="仿宋_GB2312"/>
          <w:color w:val="auto"/>
          <w:sz w:val="32"/>
          <w:szCs w:val="32"/>
        </w:rPr>
        <w:t>经国家新闻出版行政管理部门批准公开出版和国外出版社公开出版的</w:t>
      </w:r>
      <w:r>
        <w:rPr>
          <w:rFonts w:hint="eastAsia" w:ascii="仿宋_GB2312" w:eastAsia="仿宋_GB2312"/>
          <w:color w:val="auto"/>
          <w:sz w:val="32"/>
          <w:szCs w:val="28"/>
        </w:rPr>
        <w:t>社科专著。</w:t>
      </w:r>
    </w:p>
    <w:p>
      <w:pPr>
        <w:spacing w:line="360" w:lineRule="auto"/>
        <w:ind w:firstLine="570"/>
        <w:rPr>
          <w:rFonts w:hint="eastAsia" w:ascii="仿宋_GB2312" w:eastAsia="仿宋_GB2312"/>
          <w:color w:val="auto"/>
          <w:sz w:val="32"/>
          <w:szCs w:val="28"/>
        </w:rPr>
      </w:pPr>
      <w:r>
        <w:rPr>
          <w:rFonts w:hint="eastAsia" w:ascii="仿宋_GB2312" w:eastAsia="仿宋_GB2312"/>
          <w:color w:val="auto"/>
          <w:sz w:val="32"/>
          <w:szCs w:val="28"/>
        </w:rPr>
        <w:t>（2）在学科专业上填补了国内外某项空白或有重要的创新；能从理论与实践相结合上正确说明或解决社会发展中的重要问题，具有前瞻性和重要指导意义，取得较显著的社会效益；运用了国内外先进的科学研究方法；得到国内外学术界普遍赞誉和认可。</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2.二等奖评选标准</w:t>
      </w:r>
    </w:p>
    <w:p>
      <w:pPr>
        <w:spacing w:line="360" w:lineRule="auto"/>
        <w:ind w:firstLine="570"/>
        <w:rPr>
          <w:rFonts w:hint="eastAsia" w:ascii="仿宋_GB2312" w:eastAsia="仿宋_GB2312"/>
          <w:color w:val="auto"/>
          <w:sz w:val="32"/>
          <w:szCs w:val="28"/>
        </w:rPr>
      </w:pPr>
      <w:r>
        <w:rPr>
          <w:rFonts w:hint="eastAsia" w:ascii="仿宋_GB2312" w:eastAsia="仿宋_GB2312"/>
          <w:color w:val="auto"/>
          <w:sz w:val="32"/>
          <w:szCs w:val="28"/>
        </w:rPr>
        <w:t>（1）</w:t>
      </w:r>
      <w:r>
        <w:rPr>
          <w:rFonts w:hint="eastAsia" w:ascii="仿宋_GB2312" w:eastAsia="仿宋_GB2312"/>
          <w:color w:val="auto"/>
          <w:sz w:val="32"/>
          <w:szCs w:val="32"/>
        </w:rPr>
        <w:t>标有国内统一书号ISBN</w:t>
      </w:r>
      <w:r>
        <w:rPr>
          <w:rFonts w:hint="eastAsia" w:ascii="仿宋_GB2312" w:eastAsia="仿宋_GB2312"/>
          <w:color w:val="auto"/>
          <w:sz w:val="32"/>
          <w:szCs w:val="32"/>
          <w:lang w:eastAsia="zh-CN"/>
        </w:rPr>
        <w:t>，</w:t>
      </w:r>
      <w:r>
        <w:rPr>
          <w:rFonts w:hint="eastAsia" w:ascii="仿宋_GB2312" w:eastAsia="仿宋_GB2312"/>
          <w:color w:val="auto"/>
          <w:sz w:val="32"/>
          <w:szCs w:val="32"/>
        </w:rPr>
        <w:t>经国家新闻出版行政管理部门批准公开出版和国外出版社公开出版的</w:t>
      </w:r>
      <w:r>
        <w:rPr>
          <w:rFonts w:hint="eastAsia" w:ascii="仿宋_GB2312" w:eastAsia="仿宋_GB2312"/>
          <w:color w:val="auto"/>
          <w:sz w:val="32"/>
          <w:szCs w:val="28"/>
        </w:rPr>
        <w:t>社科专著。</w:t>
      </w:r>
    </w:p>
    <w:p>
      <w:pPr>
        <w:spacing w:line="360" w:lineRule="auto"/>
        <w:ind w:firstLine="570"/>
        <w:rPr>
          <w:rFonts w:hint="eastAsia" w:ascii="仿宋_GB2312" w:eastAsia="仿宋_GB2312"/>
          <w:color w:val="auto"/>
          <w:sz w:val="32"/>
          <w:szCs w:val="28"/>
        </w:rPr>
      </w:pPr>
      <w:r>
        <w:rPr>
          <w:rFonts w:hint="eastAsia" w:ascii="仿宋_GB2312" w:eastAsia="仿宋_GB2312"/>
          <w:color w:val="auto"/>
          <w:sz w:val="32"/>
          <w:szCs w:val="28"/>
        </w:rPr>
        <w:t>（2）基础理论研究填补了本学科的某些空白或有所创新；能探索重要的理论和实际问题，提出新的思路、方案，对实践有重要参考价值，产生了一定的社会效益；运用了较为先进的研究方法；得到国内学术界的重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3.三等奖评选标准</w:t>
      </w:r>
    </w:p>
    <w:p>
      <w:pPr>
        <w:spacing w:line="360" w:lineRule="auto"/>
        <w:ind w:firstLine="570"/>
        <w:rPr>
          <w:rFonts w:ascii="仿宋_GB2312" w:eastAsia="仿宋_GB2312"/>
          <w:color w:val="auto"/>
          <w:sz w:val="32"/>
          <w:szCs w:val="28"/>
        </w:rPr>
      </w:pPr>
      <w:r>
        <w:rPr>
          <w:rFonts w:hint="eastAsia" w:ascii="仿宋_GB2312" w:eastAsia="仿宋_GB2312"/>
          <w:color w:val="auto"/>
          <w:sz w:val="32"/>
          <w:szCs w:val="28"/>
        </w:rPr>
        <w:t>（1）</w:t>
      </w:r>
      <w:r>
        <w:rPr>
          <w:rFonts w:hint="eastAsia" w:ascii="仿宋_GB2312" w:eastAsia="仿宋_GB2312"/>
          <w:color w:val="auto"/>
          <w:sz w:val="32"/>
          <w:szCs w:val="32"/>
        </w:rPr>
        <w:t>标有国内统一书号ISBN</w:t>
      </w:r>
      <w:r>
        <w:rPr>
          <w:rFonts w:hint="eastAsia" w:ascii="仿宋_GB2312" w:eastAsia="仿宋_GB2312"/>
          <w:color w:val="auto"/>
          <w:sz w:val="32"/>
          <w:szCs w:val="32"/>
          <w:lang w:eastAsia="zh-CN"/>
        </w:rPr>
        <w:t>，</w:t>
      </w:r>
      <w:r>
        <w:rPr>
          <w:rFonts w:hint="eastAsia" w:ascii="仿宋_GB2312" w:eastAsia="仿宋_GB2312"/>
          <w:color w:val="auto"/>
          <w:sz w:val="32"/>
          <w:szCs w:val="32"/>
        </w:rPr>
        <w:t>经国家新闻出版行政管理部门批准公开出版和国外出版社公开出版的</w:t>
      </w:r>
      <w:r>
        <w:rPr>
          <w:rFonts w:hint="eastAsia" w:ascii="仿宋_GB2312" w:eastAsia="仿宋_GB2312"/>
          <w:color w:val="auto"/>
          <w:sz w:val="32"/>
          <w:szCs w:val="28"/>
        </w:rPr>
        <w:t>社科专著。</w:t>
      </w:r>
    </w:p>
    <w:p>
      <w:pPr>
        <w:spacing w:line="360" w:lineRule="auto"/>
        <w:ind w:firstLine="570"/>
        <w:rPr>
          <w:rFonts w:hint="eastAsia" w:ascii="仿宋_GB2312" w:eastAsia="仿宋_GB2312"/>
          <w:color w:val="auto"/>
          <w:sz w:val="32"/>
          <w:szCs w:val="28"/>
        </w:rPr>
      </w:pPr>
      <w:r>
        <w:rPr>
          <w:rFonts w:hint="eastAsia" w:ascii="仿宋_GB2312" w:eastAsia="仿宋_GB2312"/>
          <w:color w:val="auto"/>
          <w:sz w:val="32"/>
          <w:szCs w:val="28"/>
        </w:rPr>
        <w:t>（2）对某些专业问题作了新的分析，在学科的某些方面有新的突破和补充；对社会经济的发展有一定的参考价值，有一定的社会影响。</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（二）学术论文类评选标准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1.一等奖评选标准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（1）公开发表于标有国内统一刊号CN或国际标准刊号ISSN的刊物的社科研究论文。</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（2）在本学科、本专业填补了国内外学术研究空白或有重要的理论创新；具有明显的前瞻性或重大参考价值，产生了明显社会效益；运用了国内外先进的研究方法；得到国内外学术界普遍赞誉和认可。</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2.二等奖评选标准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（1）公开发表于标有国内统一刊号CN或国际标准刊号ISSN的刊物的社科研究论文。</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 xml:space="preserve">（2）填补了本学科、本专业的某些研究空白或在理论上有所创新；能探索重要的理论和实际问题，提出新的思路和方案，对实践有重要参考价值，产生了一定社会效益。 </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3.三等奖评选标准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（1）公开发表于标有国内统一刊号CN或国际标准刊号ISSN的刊物的社科研究论文。</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（2）对某些专业问题作了新的分析，在学科的某些方面有新的突破和补充；对社会经济的发展有一定的参考价值。对某些专业问题作了新的分析或对原结论作了补充和完善。</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（三）调研报告类评选标准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1.一等奖评选标准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具有很强的对策性和可操作性，被国家、部、委和省主要决策咨询机构所采用，产生了明显的社会效益。</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2.二等奖评选标准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具有较强的对策性和可操作性，被部、委、省、市主要决策机构所采用，产生了较好的社会效益。</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3.三等奖评选标准</w:t>
      </w:r>
    </w:p>
    <w:p>
      <w:pPr>
        <w:spacing w:line="360" w:lineRule="auto"/>
        <w:ind w:firstLine="640" w:firstLineChars="200"/>
        <w:rPr>
          <w:rFonts w:hint="eastAsia" w:ascii="仿宋_GB2312" w:eastAsia="仿宋_GB2312"/>
          <w:b/>
          <w:bCs/>
          <w:color w:val="auto"/>
          <w:sz w:val="32"/>
          <w:szCs w:val="28"/>
        </w:rPr>
      </w:pPr>
      <w:r>
        <w:rPr>
          <w:rFonts w:hint="eastAsia" w:ascii="仿宋_GB2312" w:eastAsia="仿宋_GB2312"/>
          <w:color w:val="auto"/>
          <w:sz w:val="32"/>
          <w:szCs w:val="28"/>
        </w:rPr>
        <w:t>具有较强的对策性和可操作性，</w:t>
      </w:r>
      <w:r>
        <w:rPr>
          <w:rFonts w:hint="eastAsia" w:ascii="仿宋_GB2312" w:eastAsia="仿宋_GB2312"/>
          <w:color w:val="auto"/>
          <w:sz w:val="32"/>
        </w:rPr>
        <w:t>对市委市政府及相关职能部门具有较大参考价</w:t>
      </w:r>
      <w:r>
        <w:rPr>
          <w:rFonts w:hint="eastAsia" w:ascii="仿宋_GB2312" w:eastAsia="仿宋_GB2312"/>
          <w:color w:val="auto"/>
          <w:sz w:val="32"/>
          <w:szCs w:val="28"/>
        </w:rPr>
        <w:t>值，并被其决策时所采用。</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（四）科普著作类评选标准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有较强的科学性、知识性，通俗易懂，影响力广（参考印数和发行量）；对普及社会科学知识有积极作用。</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（五）工具书、志书、教科书、译著、古籍整理类评选标准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1.工具书、</w:t>
      </w:r>
      <w:r>
        <w:rPr>
          <w:rFonts w:hint="eastAsia" w:ascii="仿宋_GB2312" w:eastAsia="仿宋_GB2312"/>
          <w:color w:val="auto"/>
          <w:sz w:val="32"/>
        </w:rPr>
        <w:t>志书</w:t>
      </w:r>
      <w:r>
        <w:rPr>
          <w:rFonts w:hint="eastAsia" w:ascii="仿宋_GB2312" w:eastAsia="仿宋_GB2312"/>
          <w:color w:val="auto"/>
          <w:sz w:val="32"/>
          <w:szCs w:val="28"/>
        </w:rPr>
        <w:t>评选标准</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观点正确，资料翔实可靠，具有科学性、系统性、准确性，能正确解释或反映国内外最新研究成果，对科研、教学和实际工作有重要参考价值。</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rPr>
        <w:t>2.教科书</w:t>
      </w:r>
      <w:r>
        <w:rPr>
          <w:rFonts w:hint="eastAsia" w:ascii="仿宋_GB2312" w:eastAsia="仿宋_GB2312"/>
          <w:color w:val="auto"/>
          <w:sz w:val="32"/>
          <w:szCs w:val="28"/>
        </w:rPr>
        <w:t>评选标准</w:t>
      </w:r>
    </w:p>
    <w:p>
      <w:pPr>
        <w:spacing w:line="360" w:lineRule="auto"/>
        <w:ind w:firstLine="640" w:firstLineChars="200"/>
        <w:rPr>
          <w:rFonts w:hint="eastAsia" w:ascii="仿宋_GB2312" w:eastAsia="仿宋_GB2312"/>
          <w:color w:val="auto"/>
          <w:sz w:val="32"/>
          <w:szCs w:val="32"/>
        </w:rPr>
      </w:pPr>
      <w:r>
        <w:rPr>
          <w:rFonts w:hint="eastAsia" w:ascii="仿宋_GB2312" w:eastAsia="仿宋_GB2312"/>
          <w:color w:val="auto"/>
          <w:sz w:val="32"/>
          <w:szCs w:val="32"/>
        </w:rPr>
        <w:t>观点正确，言简意赅，具有创新性、科学性、逻辑性，资料翔实，能正确阐释或反映国内外的先进研究成果，能促进教学改革和教学质量的提高，受到专家、同行和学生的好评。</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3.译著评选标准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原著具有较高学术水平，译文准确、流畅，正确表现原著风格。译著的内容对改革开放和经济社会发展中的理论和实际问题具有重要参考价值和借鉴作用。</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4.古籍整理评选标准</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忠于原作，注疏准确，在史料史实考证上有新发现，起到补正残缺、钩沉补漏的作用。</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（六）优秀成果新人奖评选标准</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1.著作新人奖评选标准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成果发表时所有作者均未满35周岁，合著中申报者撰写部分必须超过十万字，并出具合作者同意申报的书面声明。</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2.论文新人奖评选标准</w:t>
      </w:r>
    </w:p>
    <w:p>
      <w:pPr>
        <w:spacing w:line="360" w:lineRule="auto"/>
        <w:ind w:firstLine="640" w:firstLineChars="200"/>
        <w:rPr>
          <w:rFonts w:hint="eastAsia" w:ascii="仿宋_GB2312" w:eastAsia="仿宋_GB2312"/>
          <w:color w:val="auto"/>
          <w:sz w:val="32"/>
          <w:szCs w:val="28"/>
        </w:rPr>
      </w:pPr>
      <w:r>
        <w:rPr>
          <w:rFonts w:hint="eastAsia" w:ascii="仿宋_GB2312" w:eastAsia="仿宋_GB2312"/>
          <w:color w:val="auto"/>
          <w:sz w:val="32"/>
          <w:szCs w:val="28"/>
        </w:rPr>
        <w:t>成果发表时所有作者均未满35周岁。</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第十条</w:t>
      </w:r>
      <w:r>
        <w:rPr>
          <w:rFonts w:hint="eastAsia" w:ascii="仿宋_GB2312" w:eastAsia="仿宋_GB2312"/>
          <w:color w:val="auto"/>
          <w:sz w:val="32"/>
          <w:szCs w:val="28"/>
        </w:rPr>
        <w:t xml:space="preserve">  符合条件的申报者，其科研成果经评议、审核，虽未能达到上述各级评奖标准，但反映了作者具有良好的社科研究素质，由各学科评审组推荐，经评委会讨论、表决，授予该项奖励。</w:t>
      </w:r>
    </w:p>
    <w:p>
      <w:pPr>
        <w:spacing w:line="360" w:lineRule="auto"/>
        <w:ind w:firstLine="640" w:firstLineChars="200"/>
        <w:rPr>
          <w:rFonts w:hint="eastAsia" w:ascii="仿宋_GB2312" w:eastAsia="仿宋_GB2312"/>
          <w:color w:val="auto"/>
          <w:sz w:val="32"/>
          <w:szCs w:val="32"/>
          <w:u w:val="single" w:color="FFFFFF"/>
        </w:rPr>
      </w:pPr>
    </w:p>
    <w:p>
      <w:pPr>
        <w:spacing w:line="360" w:lineRule="auto"/>
        <w:jc w:val="center"/>
        <w:rPr>
          <w:rFonts w:ascii="黑体" w:eastAsia="黑体"/>
          <w:color w:val="auto"/>
          <w:sz w:val="32"/>
        </w:rPr>
      </w:pPr>
      <w:r>
        <w:rPr>
          <w:rFonts w:hint="eastAsia" w:ascii="黑体" w:eastAsia="黑体"/>
          <w:color w:val="auto"/>
          <w:sz w:val="32"/>
        </w:rPr>
        <w:t>第四章　组织领导</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第十一条</w:t>
      </w:r>
      <w:r>
        <w:rPr>
          <w:rFonts w:hint="eastAsia" w:ascii="仿宋_GB2312" w:hAnsi="宋体" w:eastAsia="仿宋_GB2312" w:cs="宋体"/>
          <w:color w:val="auto"/>
          <w:sz w:val="32"/>
        </w:rPr>
        <w:t>　</w:t>
      </w:r>
      <w:r>
        <w:rPr>
          <w:rFonts w:hint="eastAsia" w:ascii="仿宋_GB2312" w:eastAsia="仿宋_GB2312"/>
          <w:color w:val="auto"/>
          <w:sz w:val="32"/>
          <w:szCs w:val="28"/>
        </w:rPr>
        <w:t>评奖工作在深圳市哲学社会科学优秀成果评选领导小组的领导下，由评选委员会</w:t>
      </w:r>
      <w:r>
        <w:rPr>
          <w:rFonts w:ascii="仿宋_GB2312" w:eastAsia="仿宋_GB2312"/>
          <w:color w:val="auto"/>
          <w:sz w:val="32"/>
          <w:szCs w:val="28"/>
        </w:rPr>
        <w:t>（以下简称评委会）</w:t>
      </w:r>
      <w:r>
        <w:rPr>
          <w:rFonts w:hint="eastAsia" w:ascii="仿宋_GB2312" w:eastAsia="仿宋_GB2312"/>
          <w:color w:val="auto"/>
          <w:sz w:val="32"/>
          <w:szCs w:val="28"/>
        </w:rPr>
        <w:t>统一组织、协调。</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 xml:space="preserve">第十二条  </w:t>
      </w:r>
      <w:r>
        <w:rPr>
          <w:rFonts w:hint="eastAsia" w:ascii="仿宋_GB2312" w:eastAsia="仿宋_GB2312"/>
          <w:color w:val="auto"/>
          <w:sz w:val="32"/>
          <w:szCs w:val="28"/>
        </w:rPr>
        <w:t>深圳市哲学社会科学优秀成果评选领导小组由中共深圳市委宣传部</w:t>
      </w:r>
      <w:r>
        <w:rPr>
          <w:rFonts w:hint="eastAsia" w:ascii="仿宋_GB2312" w:eastAsia="仿宋_GB2312"/>
          <w:color w:val="auto"/>
          <w:sz w:val="32"/>
          <w:szCs w:val="28"/>
          <w:lang w:eastAsia="zh-CN"/>
        </w:rPr>
        <w:t>、</w:t>
      </w:r>
      <w:r>
        <w:rPr>
          <w:rFonts w:hint="eastAsia" w:ascii="仿宋_GB2312" w:eastAsia="仿宋_GB2312"/>
          <w:color w:val="auto"/>
          <w:sz w:val="32"/>
          <w:szCs w:val="28"/>
        </w:rPr>
        <w:t>深圳市社会科学联合会</w:t>
      </w:r>
      <w:r>
        <w:rPr>
          <w:rFonts w:hint="eastAsia" w:ascii="仿宋_GB2312" w:eastAsia="仿宋_GB2312"/>
          <w:color w:val="auto"/>
          <w:sz w:val="32"/>
          <w:szCs w:val="28"/>
          <w:lang w:eastAsia="zh-CN"/>
        </w:rPr>
        <w:t>及</w:t>
      </w:r>
      <w:r>
        <w:rPr>
          <w:rFonts w:hint="eastAsia" w:ascii="仿宋_GB2312" w:eastAsia="仿宋_GB2312"/>
          <w:color w:val="auto"/>
          <w:sz w:val="32"/>
          <w:szCs w:val="28"/>
        </w:rPr>
        <w:t>相关重点社科研究机构的主要负责人组成。</w:t>
      </w:r>
    </w:p>
    <w:p>
      <w:pPr>
        <w:spacing w:line="360" w:lineRule="auto"/>
        <w:ind w:firstLine="643" w:firstLineChars="200"/>
        <w:rPr>
          <w:rFonts w:ascii="仿宋_GB2312" w:eastAsia="仿宋_GB2312"/>
          <w:color w:val="auto"/>
          <w:sz w:val="32"/>
          <w:szCs w:val="28"/>
        </w:rPr>
      </w:pPr>
      <w:r>
        <w:rPr>
          <w:rFonts w:hint="eastAsia" w:ascii="仿宋_GB2312" w:eastAsia="仿宋_GB2312"/>
          <w:b/>
          <w:bCs/>
          <w:color w:val="auto"/>
          <w:sz w:val="32"/>
          <w:szCs w:val="28"/>
        </w:rPr>
        <w:t>第十三条</w:t>
      </w:r>
      <w:r>
        <w:rPr>
          <w:rFonts w:hint="eastAsia" w:ascii="仿宋_GB2312" w:eastAsia="仿宋_GB2312"/>
          <w:color w:val="auto"/>
          <w:sz w:val="32"/>
          <w:szCs w:val="28"/>
        </w:rPr>
        <w:t xml:space="preserve">  评委会由15人组成。其中主任委员1名，副主任委员1名，成员13名。 </w:t>
      </w:r>
    </w:p>
    <w:p>
      <w:pPr>
        <w:pStyle w:val="3"/>
        <w:spacing w:after="0" w:line="360" w:lineRule="auto"/>
        <w:ind w:left="0" w:leftChars="0" w:firstLine="640"/>
        <w:rPr>
          <w:rFonts w:ascii="仿宋_GB2312" w:eastAsia="仿宋_GB2312"/>
          <w:color w:val="auto"/>
          <w:sz w:val="32"/>
          <w:szCs w:val="28"/>
        </w:rPr>
      </w:pPr>
      <w:r>
        <w:rPr>
          <w:rFonts w:hint="eastAsia" w:ascii="仿宋_GB2312" w:eastAsia="仿宋_GB2312"/>
          <w:b/>
          <w:bCs/>
          <w:color w:val="auto"/>
          <w:sz w:val="32"/>
          <w:szCs w:val="28"/>
        </w:rPr>
        <w:t>第十四条</w:t>
      </w:r>
      <w:r>
        <w:rPr>
          <w:rFonts w:hint="eastAsia" w:ascii="仿宋_GB2312" w:eastAsia="仿宋_GB2312"/>
          <w:color w:val="auto"/>
          <w:sz w:val="32"/>
          <w:szCs w:val="28"/>
        </w:rPr>
        <w:t>　每个评审组由5—9名评委组成。学科评审组直接对评委会负责。</w:t>
      </w:r>
      <w:r>
        <w:rPr>
          <w:rFonts w:ascii="仿宋_GB2312" w:eastAsia="仿宋_GB2312"/>
          <w:color w:val="auto"/>
          <w:sz w:val="32"/>
          <w:szCs w:val="28"/>
        </w:rPr>
        <w:t>评委不得申报成果参评。</w:t>
      </w:r>
    </w:p>
    <w:p>
      <w:pPr>
        <w:spacing w:line="360" w:lineRule="auto"/>
        <w:ind w:firstLine="643" w:firstLineChars="200"/>
        <w:rPr>
          <w:rFonts w:hint="eastAsia" w:ascii="仿宋_GB2312" w:eastAsia="仿宋_GB2312"/>
          <w:color w:val="auto"/>
          <w:sz w:val="32"/>
          <w:szCs w:val="28"/>
        </w:rPr>
      </w:pPr>
      <w:r>
        <w:rPr>
          <w:rFonts w:hint="eastAsia" w:ascii="仿宋_GB2312" w:eastAsia="仿宋_GB2312"/>
          <w:b/>
          <w:bCs/>
          <w:color w:val="auto"/>
          <w:sz w:val="32"/>
          <w:szCs w:val="28"/>
        </w:rPr>
        <w:t>第十五条</w:t>
      </w:r>
      <w:r>
        <w:rPr>
          <w:rFonts w:hint="eastAsia" w:ascii="仿宋_GB2312" w:eastAsia="仿宋_GB2312"/>
          <w:color w:val="auto"/>
          <w:sz w:val="32"/>
          <w:szCs w:val="28"/>
        </w:rPr>
        <w:t xml:space="preserve">  学科评审组按学科分为哲学文化及综合学科组</w:t>
      </w:r>
      <w:r>
        <w:rPr>
          <w:rFonts w:ascii="仿宋_GB2312" w:eastAsia="仿宋_GB2312"/>
          <w:color w:val="auto"/>
          <w:sz w:val="32"/>
          <w:szCs w:val="28"/>
          <w:lang w:val="en"/>
        </w:rPr>
        <w:t>,</w:t>
      </w:r>
      <w:r>
        <w:rPr>
          <w:rFonts w:hint="eastAsia" w:ascii="仿宋_GB2312" w:eastAsia="仿宋_GB2312"/>
          <w:color w:val="auto"/>
          <w:sz w:val="32"/>
          <w:szCs w:val="28"/>
        </w:rPr>
        <w:t>经济管理学科组</w:t>
      </w:r>
      <w:r>
        <w:rPr>
          <w:rFonts w:ascii="仿宋_GB2312" w:eastAsia="仿宋_GB2312"/>
          <w:color w:val="auto"/>
          <w:sz w:val="32"/>
          <w:szCs w:val="28"/>
          <w:lang w:val="en"/>
        </w:rPr>
        <w:t>,</w:t>
      </w:r>
      <w:r>
        <w:rPr>
          <w:rFonts w:hint="eastAsia" w:ascii="仿宋_GB2312" w:eastAsia="仿宋_GB2312"/>
          <w:color w:val="auto"/>
          <w:sz w:val="32"/>
          <w:szCs w:val="28"/>
        </w:rPr>
        <w:t>政法社会学科组</w:t>
      </w:r>
      <w:r>
        <w:rPr>
          <w:rFonts w:ascii="仿宋_GB2312" w:eastAsia="仿宋_GB2312"/>
          <w:color w:val="auto"/>
          <w:sz w:val="32"/>
          <w:szCs w:val="28"/>
          <w:lang w:val="en"/>
        </w:rPr>
        <w:t>,</w:t>
      </w:r>
      <w:r>
        <w:rPr>
          <w:rFonts w:hint="eastAsia" w:ascii="仿宋_GB2312" w:eastAsia="仿宋_GB2312"/>
          <w:color w:val="auto"/>
          <w:sz w:val="32"/>
          <w:szCs w:val="28"/>
        </w:rPr>
        <w:t>文学、历史、教育及</w:t>
      </w:r>
      <w:r>
        <w:rPr>
          <w:rFonts w:hint="eastAsia" w:ascii="仿宋_GB2312" w:eastAsia="仿宋_GB2312"/>
          <w:color w:val="auto"/>
          <w:sz w:val="32"/>
          <w:szCs w:val="32"/>
        </w:rPr>
        <w:t>其他</w:t>
      </w:r>
      <w:r>
        <w:rPr>
          <w:rFonts w:hint="eastAsia" w:ascii="仿宋_GB2312" w:eastAsia="仿宋_GB2312"/>
          <w:color w:val="auto"/>
          <w:sz w:val="32"/>
          <w:szCs w:val="28"/>
        </w:rPr>
        <w:t>学科组。</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（一）哲学文化及综合学科组。负责评议哲学、文化学、伦理学、美学、逻辑学、宗教学、民族学、自然科学与社会科学的交叉学科和新兴学科及其他综合学科的科研成果。</w:t>
      </w:r>
    </w:p>
    <w:p>
      <w:pPr>
        <w:spacing w:line="360" w:lineRule="auto"/>
        <w:ind w:firstLine="576" w:firstLineChars="180"/>
        <w:rPr>
          <w:rFonts w:ascii="仿宋_GB2312" w:eastAsia="仿宋_GB2312"/>
          <w:color w:val="auto"/>
          <w:sz w:val="32"/>
          <w:szCs w:val="28"/>
        </w:rPr>
      </w:pPr>
      <w:r>
        <w:rPr>
          <w:rFonts w:hint="eastAsia" w:ascii="仿宋_GB2312" w:eastAsia="仿宋_GB2312"/>
          <w:color w:val="auto"/>
          <w:sz w:val="32"/>
          <w:szCs w:val="28"/>
        </w:rPr>
        <w:t>（二）经济管理学科组。负责评议理论经济学、应用经济学、管理学科的科研成果。</w:t>
      </w:r>
    </w:p>
    <w:p>
      <w:pPr>
        <w:spacing w:line="360" w:lineRule="auto"/>
        <w:ind w:firstLine="640" w:firstLineChars="200"/>
        <w:rPr>
          <w:rFonts w:ascii="仿宋_GB2312" w:eastAsia="仿宋_GB2312"/>
          <w:color w:val="auto"/>
          <w:sz w:val="32"/>
          <w:szCs w:val="28"/>
        </w:rPr>
      </w:pPr>
      <w:r>
        <w:rPr>
          <w:rFonts w:hint="eastAsia" w:ascii="仿宋_GB2312" w:eastAsia="仿宋_GB2312"/>
          <w:color w:val="auto"/>
          <w:sz w:val="32"/>
          <w:szCs w:val="28"/>
        </w:rPr>
        <w:t>（三）政法社会学科组。负责评议政治学、法学、社会学科的科研成果。</w:t>
      </w:r>
    </w:p>
    <w:p>
      <w:pPr>
        <w:pStyle w:val="3"/>
        <w:spacing w:after="0" w:line="360" w:lineRule="auto"/>
        <w:ind w:left="0" w:leftChars="0" w:firstLine="640"/>
        <w:rPr>
          <w:rFonts w:ascii="仿宋_GB2312" w:eastAsia="仿宋_GB2312"/>
          <w:color w:val="auto"/>
          <w:sz w:val="32"/>
          <w:szCs w:val="28"/>
        </w:rPr>
      </w:pPr>
      <w:r>
        <w:rPr>
          <w:rFonts w:hint="eastAsia" w:ascii="仿宋_GB2312" w:eastAsia="仿宋_GB2312"/>
          <w:color w:val="auto"/>
          <w:sz w:val="32"/>
          <w:szCs w:val="28"/>
        </w:rPr>
        <w:t>（四）文学、历史、教育及</w:t>
      </w:r>
      <w:r>
        <w:rPr>
          <w:rFonts w:hint="eastAsia" w:ascii="仿宋_GB2312" w:eastAsia="仿宋_GB2312"/>
          <w:color w:val="auto"/>
          <w:sz w:val="32"/>
          <w:szCs w:val="32"/>
        </w:rPr>
        <w:t>其他</w:t>
      </w:r>
      <w:r>
        <w:rPr>
          <w:rFonts w:hint="eastAsia" w:ascii="仿宋_GB2312" w:eastAsia="仿宋_GB2312"/>
          <w:color w:val="auto"/>
          <w:sz w:val="32"/>
          <w:szCs w:val="28"/>
        </w:rPr>
        <w:t>学科组。负责评议语言文学、文艺评论、新闻传播学、艺术学、历史学、教育学、图书情报学、文献学等学科的科研成果。</w:t>
      </w:r>
    </w:p>
    <w:p>
      <w:pPr>
        <w:spacing w:line="360" w:lineRule="auto"/>
        <w:ind w:firstLine="643" w:firstLineChars="200"/>
        <w:rPr>
          <w:rFonts w:hint="eastAsia" w:ascii="仿宋_GB2312" w:eastAsia="仿宋_GB2312"/>
          <w:color w:val="auto"/>
          <w:sz w:val="32"/>
        </w:rPr>
      </w:pPr>
      <w:r>
        <w:rPr>
          <w:rFonts w:hint="eastAsia" w:ascii="仿宋_GB2312" w:eastAsia="仿宋_GB2312"/>
          <w:b/>
          <w:bCs/>
          <w:color w:val="auto"/>
          <w:sz w:val="32"/>
          <w:szCs w:val="28"/>
        </w:rPr>
        <w:t>第十六条</w:t>
      </w:r>
      <w:r>
        <w:rPr>
          <w:rFonts w:hint="eastAsia" w:ascii="仿宋_GB2312" w:hAnsi="宋体" w:eastAsia="仿宋_GB2312" w:cs="宋体"/>
          <w:color w:val="auto"/>
          <w:sz w:val="32"/>
        </w:rPr>
        <w:t>　</w:t>
      </w:r>
      <w:r>
        <w:rPr>
          <w:rFonts w:hint="eastAsia" w:ascii="仿宋_GB2312" w:eastAsia="仿宋_GB2312"/>
          <w:color w:val="auto"/>
          <w:sz w:val="32"/>
          <w:szCs w:val="28"/>
        </w:rPr>
        <w:t>评委会秘书组组员列席评审组评议会，但</w:t>
      </w:r>
      <w:r>
        <w:rPr>
          <w:rFonts w:hint="eastAsia" w:ascii="仿宋_GB2312" w:eastAsia="仿宋_GB2312"/>
          <w:color w:val="auto"/>
          <w:sz w:val="32"/>
        </w:rPr>
        <w:t>不参加评议和表决，只负责协助评委会协调各学科评审组的活动和处理评奖活动的日常事务。秘书组成员从中共深圳市委宣传部理论处和深圳市社会科学联合会工作人员中产生。</w:t>
      </w:r>
    </w:p>
    <w:p>
      <w:pPr>
        <w:spacing w:line="360" w:lineRule="auto"/>
        <w:ind w:firstLine="640" w:firstLineChars="200"/>
        <w:rPr>
          <w:rFonts w:hint="eastAsia" w:ascii="仿宋_GB2312" w:eastAsia="仿宋_GB2312"/>
          <w:color w:val="auto"/>
          <w:sz w:val="32"/>
        </w:rPr>
      </w:pPr>
    </w:p>
    <w:p>
      <w:pPr>
        <w:spacing w:line="360" w:lineRule="auto"/>
        <w:jc w:val="center"/>
        <w:rPr>
          <w:rFonts w:ascii="黑体" w:eastAsia="黑体"/>
          <w:color w:val="auto"/>
          <w:sz w:val="32"/>
        </w:rPr>
      </w:pPr>
      <w:r>
        <w:rPr>
          <w:rFonts w:hint="eastAsia" w:ascii="黑体" w:eastAsia="黑体"/>
          <w:color w:val="auto"/>
          <w:sz w:val="32"/>
        </w:rPr>
        <w:t>第五章　评奖程序及办法</w:t>
      </w:r>
    </w:p>
    <w:p>
      <w:pPr>
        <w:spacing w:line="360" w:lineRule="auto"/>
        <w:ind w:firstLine="643" w:firstLineChars="200"/>
        <w:rPr>
          <w:rFonts w:ascii="仿宋_GB2312" w:eastAsia="仿宋_GB2312"/>
          <w:color w:val="auto"/>
          <w:sz w:val="32"/>
        </w:rPr>
      </w:pPr>
      <w:r>
        <w:rPr>
          <w:rFonts w:hint="eastAsia" w:ascii="仿宋_GB2312" w:eastAsia="仿宋_GB2312"/>
          <w:b/>
          <w:bCs/>
          <w:color w:val="auto"/>
          <w:sz w:val="32"/>
        </w:rPr>
        <w:t>第十七条</w:t>
      </w:r>
      <w:r>
        <w:rPr>
          <w:rFonts w:hint="eastAsia" w:ascii="仿宋_GB2312" w:hAnsi="宋体" w:eastAsia="仿宋_GB2312" w:cs="宋体"/>
          <w:color w:val="auto"/>
          <w:sz w:val="32"/>
        </w:rPr>
        <w:t>　</w:t>
      </w:r>
      <w:r>
        <w:rPr>
          <w:rFonts w:hint="eastAsia" w:ascii="仿宋_GB2312" w:eastAsia="仿宋_GB2312"/>
          <w:color w:val="auto"/>
          <w:sz w:val="32"/>
        </w:rPr>
        <w:t>评奖程序</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（一）评委会秘书组负责接受申报。</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（一）评委会秘书组对接收的申报成果进行资格审查、学科分类，按所属学科，分送各学科评审组成员。</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（二）学科评审组评审可以采取</w:t>
      </w:r>
      <w:r>
        <w:rPr>
          <w:rFonts w:hint="eastAsia" w:ascii="仿宋_GB2312" w:hAnsi="Arial" w:eastAsia="仿宋_GB2312" w:cs="Arial"/>
          <w:color w:val="auto"/>
          <w:sz w:val="32"/>
          <w:szCs w:val="32"/>
        </w:rPr>
        <w:t>市内专家评审</w:t>
      </w:r>
      <w:r>
        <w:rPr>
          <w:rFonts w:hint="eastAsia" w:ascii="仿宋_GB2312" w:eastAsia="仿宋_GB2312"/>
          <w:color w:val="auto"/>
          <w:sz w:val="32"/>
        </w:rPr>
        <w:t>、委托外地专家异地评审</w:t>
      </w:r>
      <w:r>
        <w:rPr>
          <w:rFonts w:hint="eastAsia" w:ascii="仿宋_GB2312" w:hAnsi="Arial" w:eastAsia="仿宋_GB2312" w:cs="Arial"/>
          <w:color w:val="auto"/>
          <w:sz w:val="32"/>
          <w:szCs w:val="32"/>
        </w:rPr>
        <w:t>或外地专家网上评审等多种形式</w:t>
      </w:r>
      <w:r>
        <w:rPr>
          <w:rFonts w:hint="eastAsia" w:ascii="仿宋_GB2312" w:eastAsia="仿宋_GB2312"/>
          <w:color w:val="auto"/>
          <w:sz w:val="32"/>
        </w:rPr>
        <w:t>，成员在认真审读材料后进行评审。</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（三）秘书组整理学科评审组初评结果后上报评委会。</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（四）评委会对初评结果进行复审、综合审核、讨论表决，得出审定结果。</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（五）评委会审定结果报中共深圳</w:t>
      </w:r>
      <w:r>
        <w:rPr>
          <w:rFonts w:hint="eastAsia" w:ascii="仿宋_GB2312" w:eastAsia="仿宋_GB2312"/>
          <w:color w:val="auto"/>
          <w:sz w:val="32"/>
          <w:szCs w:val="28"/>
        </w:rPr>
        <w:t>市委宣传部部长办公会审议，确定终审结果。</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（六）终审结果在有关媒体公示，</w:t>
      </w:r>
      <w:r>
        <w:rPr>
          <w:rFonts w:ascii="仿宋_GB2312" w:eastAsia="仿宋_GB2312"/>
          <w:color w:val="auto"/>
          <w:sz w:val="32"/>
        </w:rPr>
        <w:t>公示期7天，公示期内，</w:t>
      </w:r>
      <w:r>
        <w:rPr>
          <w:rFonts w:hint="eastAsia" w:ascii="仿宋_GB2312" w:hAnsi="宋体" w:eastAsia="仿宋_GB2312"/>
          <w:color w:val="auto"/>
          <w:sz w:val="32"/>
          <w:szCs w:val="32"/>
        </w:rPr>
        <w:t>任何单位或个人对拟奖项目有异议的，可以书面形式向秘书组提出异议理由和事实根据，写明异议者的真实姓名、所在单位和联系办法，对于非拟奖项目的异议不予受理，过期或不按要求提出异议的不予受理。公示期满后，确需复审的由领导小组责成原学科评审组、评委会进行复议，并提出意见，报领导小组裁定。</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（七）召开表彰大会，颁发获奖证书和奖金。</w:t>
      </w:r>
    </w:p>
    <w:p>
      <w:pPr>
        <w:spacing w:line="360" w:lineRule="auto"/>
        <w:ind w:firstLine="643" w:firstLineChars="200"/>
        <w:rPr>
          <w:rFonts w:ascii="仿宋_GB2312" w:eastAsia="仿宋_GB2312"/>
          <w:color w:val="auto"/>
          <w:sz w:val="32"/>
        </w:rPr>
      </w:pPr>
      <w:r>
        <w:rPr>
          <w:rFonts w:hint="eastAsia" w:ascii="仿宋_GB2312" w:eastAsia="仿宋_GB2312"/>
          <w:b/>
          <w:bCs/>
          <w:color w:val="auto"/>
          <w:sz w:val="32"/>
        </w:rPr>
        <w:t>第十八条</w:t>
      </w:r>
      <w:r>
        <w:rPr>
          <w:rFonts w:hint="eastAsia" w:ascii="仿宋_GB2312" w:hAnsi="宋体" w:eastAsia="仿宋_GB2312" w:cs="宋体"/>
          <w:color w:val="auto"/>
          <w:sz w:val="32"/>
        </w:rPr>
        <w:t>　</w:t>
      </w:r>
      <w:r>
        <w:rPr>
          <w:rFonts w:hint="eastAsia" w:ascii="仿宋_GB2312" w:eastAsia="仿宋_GB2312"/>
          <w:b/>
          <w:bCs/>
          <w:color w:val="auto"/>
          <w:sz w:val="32"/>
        </w:rPr>
        <w:t>评奖办法</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（一）评选采用评议与表决相结合的办法。</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（二）采取无记名投票表决方式。</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（三）评委会主任委员、副主任委员、委员在表决时均只有一票表决权。</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（四）参加评议和投票表决的人数不能少于评委会全体成员的三分之二，赞成票须达到或超过参加人数的二分之一方为有效。</w:t>
      </w:r>
    </w:p>
    <w:p>
      <w:pPr>
        <w:spacing w:line="360" w:lineRule="auto"/>
        <w:ind w:firstLine="640" w:firstLineChars="200"/>
        <w:rPr>
          <w:rFonts w:hint="eastAsia" w:ascii="仿宋_GB2312" w:eastAsia="仿宋_GB2312"/>
          <w:color w:val="auto"/>
          <w:sz w:val="32"/>
        </w:rPr>
      </w:pPr>
      <w:r>
        <w:rPr>
          <w:rFonts w:hint="eastAsia" w:ascii="仿宋_GB2312" w:eastAsia="仿宋_GB2312"/>
          <w:color w:val="auto"/>
          <w:sz w:val="32"/>
        </w:rPr>
        <w:t>（五）学科评审组在评议过程中，如出现较大意见分歧难以统一，应予以书面说明，并把少数人的意见如实记录，附入《深圳市哲学社会科学优秀成果评奖申报表》，报评委会。</w:t>
      </w:r>
    </w:p>
    <w:p>
      <w:pPr>
        <w:spacing w:line="360" w:lineRule="auto"/>
        <w:ind w:firstLine="640" w:firstLineChars="200"/>
        <w:rPr>
          <w:rFonts w:ascii="仿宋_GB2312" w:eastAsia="仿宋_GB2312"/>
          <w:color w:val="auto"/>
          <w:sz w:val="32"/>
        </w:rPr>
      </w:pPr>
      <w:r>
        <w:rPr>
          <w:rFonts w:hint="eastAsia" w:ascii="仿宋_GB2312" w:eastAsia="仿宋_GB2312"/>
          <w:color w:val="auto"/>
          <w:sz w:val="32"/>
        </w:rPr>
        <w:t>（六）在学科评审组未被通过的申报成果，获得评审组三分之一以上（含三分之一）票数，经评委会3位委员提议，可列为候选成果，由评委会进行终审表决，表决入选有效。在学科评审组获得不足三分之一票数的申报成果，评委会不予复审表决。</w:t>
      </w:r>
    </w:p>
    <w:p>
      <w:pPr>
        <w:spacing w:line="360" w:lineRule="auto"/>
        <w:jc w:val="center"/>
        <w:rPr>
          <w:rFonts w:hint="eastAsia" w:ascii="黑体" w:eastAsia="黑体"/>
          <w:color w:val="auto"/>
          <w:sz w:val="32"/>
        </w:rPr>
      </w:pPr>
    </w:p>
    <w:p>
      <w:pPr>
        <w:spacing w:line="360" w:lineRule="auto"/>
        <w:jc w:val="center"/>
        <w:rPr>
          <w:rFonts w:hint="eastAsia" w:ascii="黑体" w:eastAsia="黑体"/>
          <w:color w:val="auto"/>
          <w:sz w:val="32"/>
        </w:rPr>
      </w:pPr>
      <w:r>
        <w:rPr>
          <w:rFonts w:hint="eastAsia" w:ascii="黑体" w:eastAsia="黑体"/>
          <w:color w:val="auto"/>
          <w:sz w:val="32"/>
        </w:rPr>
        <w:t>第六章　评奖纪律</w:t>
      </w:r>
    </w:p>
    <w:p>
      <w:pPr>
        <w:pStyle w:val="3"/>
        <w:spacing w:after="0" w:line="360" w:lineRule="auto"/>
        <w:ind w:left="0" w:leftChars="0" w:firstLine="640"/>
        <w:rPr>
          <w:rFonts w:hint="eastAsia" w:ascii="仿宋_GB2312" w:eastAsia="仿宋_GB2312"/>
          <w:color w:val="auto"/>
          <w:sz w:val="32"/>
        </w:rPr>
      </w:pPr>
      <w:r>
        <w:rPr>
          <w:rFonts w:hint="eastAsia" w:ascii="仿宋_GB2312" w:eastAsia="仿宋_GB2312"/>
          <w:b/>
          <w:bCs/>
          <w:color w:val="auto"/>
          <w:sz w:val="32"/>
        </w:rPr>
        <w:t>第十九条</w:t>
      </w:r>
      <w:r>
        <w:rPr>
          <w:rFonts w:hint="eastAsia" w:ascii="仿宋_GB2312" w:hAnsi="宋体" w:eastAsia="仿宋_GB2312" w:cs="宋体"/>
          <w:color w:val="auto"/>
          <w:sz w:val="32"/>
        </w:rPr>
        <w:t>　</w:t>
      </w:r>
      <w:r>
        <w:rPr>
          <w:rFonts w:hint="eastAsia" w:ascii="仿宋_GB2312" w:eastAsia="仿宋_GB2312"/>
          <w:color w:val="auto"/>
          <w:sz w:val="32"/>
        </w:rPr>
        <w:t>申报人应按要求如实填写申报材料，对申报材料的真实性、合法性负责。不符合申报条件、弄虚作假或剽窃他人研究成果、提交著作权存在争议的成果及存在其他重大问题的，将视情节轻重予以严肃处理。</w:t>
      </w:r>
    </w:p>
    <w:p>
      <w:pPr>
        <w:pStyle w:val="3"/>
        <w:spacing w:after="0" w:line="360" w:lineRule="auto"/>
        <w:ind w:left="0" w:leftChars="0" w:firstLine="640"/>
        <w:rPr>
          <w:rFonts w:hint="eastAsia" w:ascii="仿宋_GB2312" w:eastAsia="仿宋_GB2312"/>
          <w:color w:val="auto"/>
          <w:sz w:val="32"/>
        </w:rPr>
      </w:pPr>
      <w:r>
        <w:rPr>
          <w:rFonts w:hint="eastAsia" w:ascii="仿宋_GB2312" w:eastAsia="仿宋_GB2312"/>
          <w:b/>
          <w:bCs/>
          <w:color w:val="auto"/>
          <w:sz w:val="32"/>
        </w:rPr>
        <w:t>第二十条</w:t>
      </w:r>
      <w:r>
        <w:rPr>
          <w:rFonts w:hint="eastAsia" w:ascii="仿宋_GB2312" w:hAnsi="宋体" w:eastAsia="仿宋_GB2312" w:cs="宋体"/>
          <w:color w:val="auto"/>
          <w:sz w:val="32"/>
        </w:rPr>
        <w:t>　</w:t>
      </w:r>
      <w:r>
        <w:rPr>
          <w:rFonts w:hint="eastAsia" w:ascii="仿宋_GB2312" w:eastAsia="仿宋_GB2312"/>
          <w:color w:val="auto"/>
          <w:sz w:val="32"/>
        </w:rPr>
        <w:t>评委会成员、学科评审组成员、秘书组成员与参加评奖活动的其他工作人员要坚持民主、公平、公正的原则，不徇私情，不论资排辈，严格按照有关标准实事求是地评选；慎重对待学术界争议较大的成果，认真研究，给予恰当的评价；坚决杜绝拉票、泄密等不良风气。如发现评委会成员、学科评审组成员</w:t>
      </w:r>
      <w:r>
        <w:rPr>
          <w:rFonts w:hint="eastAsia" w:ascii="仿宋_GB2312" w:hAnsi="宋体" w:eastAsia="仿宋_GB2312" w:cs="宋体"/>
          <w:color w:val="auto"/>
          <w:kern w:val="0"/>
          <w:sz w:val="32"/>
          <w:szCs w:val="32"/>
        </w:rPr>
        <w:t>在评审工作中有弄虚作假、徇私舞弊以及其他严重违反评审纪律行为的</w:t>
      </w:r>
      <w:r>
        <w:rPr>
          <w:rFonts w:hint="eastAsia" w:ascii="仿宋_GB2312" w:eastAsia="仿宋_GB2312"/>
          <w:color w:val="auto"/>
          <w:sz w:val="32"/>
        </w:rPr>
        <w:t>，由秘书组报评奖领导小组批准，取消其当届评委资格，并在未来6年内不得担任深圳市哲学社会科学优秀成果评选活动评委，未来5年内不得担任深圳市哲学社会科学规划课题评委，视情节轻重由相关部门严肃处理。如发现秘书组成员与参加评奖活动的其他工作人员有以上情形的，视情节轻重由相关部门严肃处理</w:t>
      </w:r>
      <w:r>
        <w:rPr>
          <w:rFonts w:hint="eastAsia" w:ascii="仿宋_GB2312" w:hAnsi="宋体" w:eastAsia="仿宋_GB2312" w:cs="宋体"/>
          <w:color w:val="auto"/>
          <w:kern w:val="0"/>
          <w:sz w:val="32"/>
          <w:szCs w:val="32"/>
        </w:rPr>
        <w:t>。</w:t>
      </w:r>
    </w:p>
    <w:p>
      <w:pPr>
        <w:pStyle w:val="3"/>
        <w:spacing w:after="0" w:line="360" w:lineRule="auto"/>
        <w:ind w:left="0" w:leftChars="0" w:firstLine="640"/>
        <w:rPr>
          <w:rFonts w:hint="eastAsia" w:ascii="仿宋_GB2312" w:hAnsi="宋体" w:eastAsia="仿宋_GB2312" w:cs="宋体"/>
          <w:color w:val="auto"/>
          <w:kern w:val="0"/>
          <w:sz w:val="32"/>
          <w:szCs w:val="32"/>
        </w:rPr>
      </w:pPr>
      <w:r>
        <w:rPr>
          <w:rFonts w:hint="eastAsia" w:ascii="仿宋_GB2312" w:eastAsia="仿宋_GB2312"/>
          <w:b/>
          <w:bCs/>
          <w:color w:val="auto"/>
          <w:sz w:val="32"/>
        </w:rPr>
        <w:t>第二十一条</w:t>
      </w:r>
      <w:r>
        <w:rPr>
          <w:rFonts w:hint="eastAsia" w:ascii="仿宋_GB2312" w:hAnsi="宋体" w:eastAsia="仿宋_GB2312" w:cs="宋体"/>
          <w:color w:val="auto"/>
          <w:sz w:val="32"/>
        </w:rPr>
        <w:t>　</w:t>
      </w:r>
      <w:r>
        <w:rPr>
          <w:rFonts w:hint="eastAsia" w:ascii="仿宋_GB2312" w:hAnsi="宋体" w:eastAsia="仿宋_GB2312" w:cs="宋体"/>
          <w:color w:val="auto"/>
          <w:kern w:val="0"/>
          <w:sz w:val="32"/>
          <w:szCs w:val="32"/>
        </w:rPr>
        <w:t>凡抄袭、剽窃、侵占他人成果或者以</w:t>
      </w:r>
      <w:r>
        <w:rPr>
          <w:rFonts w:hint="eastAsia" w:ascii="仿宋_GB2312" w:eastAsia="仿宋_GB2312"/>
          <w:color w:val="auto"/>
          <w:sz w:val="32"/>
          <w:szCs w:val="32"/>
        </w:rPr>
        <w:t>其他</w:t>
      </w:r>
      <w:r>
        <w:rPr>
          <w:rFonts w:hint="eastAsia" w:ascii="仿宋_GB2312" w:hAnsi="宋体" w:eastAsia="仿宋_GB2312" w:cs="宋体"/>
          <w:color w:val="auto"/>
          <w:kern w:val="0"/>
          <w:sz w:val="32"/>
          <w:szCs w:val="32"/>
        </w:rPr>
        <w:t>不正当手段骗取市哲学社会科学奖励和荣誉的，一经查实，由秘书组报请领导小组撤销奖励，追回奖金与证书，</w:t>
      </w:r>
      <w:r>
        <w:rPr>
          <w:rFonts w:hint="eastAsia" w:ascii="仿宋_GB2312" w:eastAsia="仿宋_GB2312"/>
          <w:color w:val="auto"/>
          <w:sz w:val="32"/>
        </w:rPr>
        <w:t>并视情节轻重予以严肃处理</w:t>
      </w:r>
      <w:r>
        <w:rPr>
          <w:rFonts w:hint="eastAsia" w:ascii="仿宋_GB2312" w:hAnsi="宋体" w:eastAsia="仿宋_GB2312" w:cs="宋体"/>
          <w:color w:val="auto"/>
          <w:kern w:val="0"/>
          <w:sz w:val="32"/>
          <w:szCs w:val="32"/>
        </w:rPr>
        <w:t>。</w:t>
      </w:r>
    </w:p>
    <w:p>
      <w:pPr>
        <w:pStyle w:val="3"/>
        <w:spacing w:after="0" w:line="360" w:lineRule="auto"/>
        <w:ind w:left="0" w:leftChars="0" w:firstLine="640"/>
        <w:rPr>
          <w:rFonts w:hint="eastAsia" w:ascii="仿宋_GB2312" w:hAnsi="宋体" w:eastAsia="仿宋_GB2312" w:cs="宋体"/>
          <w:color w:val="auto"/>
          <w:kern w:val="0"/>
          <w:sz w:val="32"/>
          <w:szCs w:val="32"/>
        </w:rPr>
      </w:pPr>
    </w:p>
    <w:p>
      <w:pPr>
        <w:spacing w:line="360" w:lineRule="auto"/>
        <w:jc w:val="center"/>
        <w:rPr>
          <w:rFonts w:hint="eastAsia" w:ascii="黑体" w:eastAsia="黑体"/>
          <w:color w:val="auto"/>
          <w:sz w:val="32"/>
        </w:rPr>
      </w:pPr>
      <w:r>
        <w:rPr>
          <w:rFonts w:hint="eastAsia" w:ascii="黑体" w:eastAsia="黑体"/>
          <w:color w:val="auto"/>
          <w:sz w:val="32"/>
        </w:rPr>
        <w:t>第七章　其他</w:t>
      </w:r>
    </w:p>
    <w:p>
      <w:pPr>
        <w:spacing w:line="360" w:lineRule="auto"/>
        <w:ind w:firstLine="643" w:firstLineChars="200"/>
        <w:rPr>
          <w:rFonts w:hint="eastAsia" w:ascii="仿宋_GB2312" w:eastAsia="仿宋_GB2312"/>
          <w:color w:val="auto"/>
          <w:sz w:val="32"/>
        </w:rPr>
      </w:pPr>
      <w:r>
        <w:rPr>
          <w:rFonts w:hint="eastAsia" w:ascii="仿宋_GB2312" w:eastAsia="仿宋_GB2312"/>
          <w:b/>
          <w:bCs/>
          <w:color w:val="auto"/>
          <w:sz w:val="32"/>
        </w:rPr>
        <w:t>第二十二条</w:t>
      </w:r>
      <w:r>
        <w:rPr>
          <w:rFonts w:hint="eastAsia" w:ascii="仿宋_GB2312" w:hAnsi="宋体" w:eastAsia="仿宋_GB2312" w:cs="宋体"/>
          <w:color w:val="auto"/>
          <w:sz w:val="32"/>
        </w:rPr>
        <w:t>　</w:t>
      </w:r>
      <w:r>
        <w:rPr>
          <w:rFonts w:hint="eastAsia" w:ascii="仿宋_GB2312" w:eastAsia="仿宋_GB2312"/>
          <w:color w:val="auto"/>
          <w:sz w:val="32"/>
        </w:rPr>
        <w:t>评奖所需经费，由深圳市社会科学联合会编制预算，市财政拨款，专款专用。</w:t>
      </w:r>
    </w:p>
    <w:p>
      <w:pPr>
        <w:spacing w:line="360" w:lineRule="auto"/>
        <w:ind w:firstLine="643" w:firstLineChars="200"/>
        <w:rPr>
          <w:rFonts w:hint="eastAsia" w:ascii="仿宋_GB2312" w:eastAsia="仿宋_GB2312"/>
          <w:color w:val="auto"/>
          <w:sz w:val="32"/>
        </w:rPr>
      </w:pPr>
      <w:r>
        <w:rPr>
          <w:rFonts w:hint="eastAsia" w:ascii="仿宋_GB2312" w:eastAsia="仿宋_GB2312"/>
          <w:b/>
          <w:bCs/>
          <w:color w:val="auto"/>
          <w:sz w:val="32"/>
        </w:rPr>
        <w:t>第二十三条</w:t>
      </w:r>
      <w:r>
        <w:rPr>
          <w:rFonts w:hint="eastAsia" w:ascii="仿宋_GB2312" w:hAnsi="宋体" w:eastAsia="仿宋_GB2312" w:cs="宋体"/>
          <w:color w:val="auto"/>
          <w:sz w:val="32"/>
        </w:rPr>
        <w:t>　</w:t>
      </w:r>
      <w:r>
        <w:rPr>
          <w:rFonts w:hint="eastAsia" w:ascii="仿宋_GB2312" w:eastAsia="仿宋_GB2312"/>
          <w:color w:val="auto"/>
          <w:sz w:val="32"/>
        </w:rPr>
        <w:t>本办法由中共深圳市委宣传部、深圳市社会科学联合会负责解释。</w:t>
      </w:r>
    </w:p>
    <w:p>
      <w:pPr>
        <w:spacing w:line="360" w:lineRule="auto"/>
        <w:ind w:firstLine="640" w:firstLineChars="200"/>
        <w:rPr>
          <w:rFonts w:hint="eastAsia" w:ascii="仿宋_GB2312" w:eastAsia="仿宋_GB2312"/>
          <w:color w:val="auto"/>
          <w:sz w:val="32"/>
        </w:rPr>
      </w:pPr>
    </w:p>
    <w:p>
      <w:pPr>
        <w:spacing w:line="360" w:lineRule="auto"/>
        <w:rPr>
          <w:rFonts w:hint="eastAsia" w:ascii="仿宋_GB2312" w:eastAsia="仿宋_GB2312"/>
          <w:color w:val="auto"/>
          <w:sz w:val="32"/>
        </w:rPr>
      </w:pPr>
    </w:p>
    <w:p>
      <w:pPr>
        <w:spacing w:line="360" w:lineRule="auto"/>
        <w:rPr>
          <w:rFonts w:hint="eastAsia" w:ascii="仿宋_GB2312" w:eastAsia="仿宋_GB2312"/>
          <w:color w:val="auto"/>
          <w:sz w:val="32"/>
        </w:rPr>
      </w:pPr>
    </w:p>
    <w:p>
      <w:pPr>
        <w:rPr>
          <w:color w:val="auto"/>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pStyle w:val="2"/>
        <w:ind w:left="0" w:leftChars="0" w:firstLine="0" w:firstLineChars="0"/>
        <w:rPr>
          <w:rFonts w:hint="eastAsia" w:ascii="仿宋_GB2312" w:eastAsia="仿宋_GB2312"/>
          <w:color w:val="auto"/>
          <w:sz w:val="32"/>
        </w:rPr>
      </w:pPr>
    </w:p>
    <w:p>
      <w:pPr>
        <w:rPr>
          <w:rFonts w:hint="eastAsia" w:ascii="黑体" w:hAnsi="黑体" w:eastAsia="黑体" w:cs="黑体"/>
          <w:sz w:val="32"/>
          <w:szCs w:val="32"/>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F0A15"/>
    <w:rsid w:val="365E31D5"/>
    <w:rsid w:val="76FF0A15"/>
    <w:rsid w:val="777D6B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Indent 2"/>
    <w:basedOn w:val="1"/>
    <w:qFormat/>
    <w:uiPriority w:val="0"/>
    <w:pPr>
      <w:spacing w:after="120"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4162</Words>
  <Characters>4202</Characters>
  <Lines>0</Lines>
  <Paragraphs>0</Paragraphs>
  <TotalTime>2.33333333333333</TotalTime>
  <ScaleCrop>false</ScaleCrop>
  <LinksUpToDate>false</LinksUpToDate>
  <CharactersWithSpaces>4242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2023-08-10T14:59:00Z</dcterms:created>
  <dc:creator>zs</dc:creator>
  <cp:lastModifiedBy>皮卡丘的弟弟皮在痒</cp:lastModifiedBy>
  <dcterms:modified xsi:type="dcterms:W3CDTF">2023-08-10T07:29:00Z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91F491FF7AD94C9EB8DF41A860A456CE_13</vt:lpwstr>
  </property>
</Properties>
</file>